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68" w:rsidRDefault="00652DF6">
      <w:pPr>
        <w:suppressAutoHyphens w:val="0"/>
        <w:spacing w:line="276" w:lineRule="auto"/>
        <w:jc w:val="right"/>
        <w:textAlignment w:val="auto"/>
      </w:pPr>
      <w:r>
        <w:rPr>
          <w:noProof/>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Pieve Santo Stefano</w:t>
      </w:r>
    </w:p>
    <w:p w:rsidR="005C4E68" w:rsidRDefault="00652DF6">
      <w:pPr>
        <w:suppressAutoHyphens w:val="0"/>
        <w:spacing w:line="276" w:lineRule="auto"/>
        <w:jc w:val="right"/>
        <w:textAlignment w:val="auto"/>
      </w:pPr>
      <w:r>
        <w:rPr>
          <w:noProof/>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51E380F"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rPr>
        <w:t>Provincia di Arezzo</w:t>
      </w:r>
    </w:p>
    <w:p w:rsidR="005C4E68" w:rsidRDefault="005C4E68">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5C4E68">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4E68" w:rsidRDefault="00652DF6">
            <w:pPr>
              <w:spacing w:before="240"/>
              <w:jc w:val="center"/>
              <w:rPr>
                <w:rFonts w:ascii="Arial" w:hAnsi="Arial" w:cs="Arial"/>
                <w:b/>
                <w:color w:val="000000"/>
              </w:rPr>
            </w:pPr>
            <w:r>
              <w:rPr>
                <w:rFonts w:ascii="Arial" w:hAnsi="Arial" w:cs="Arial"/>
                <w:b/>
                <w:color w:val="000000"/>
              </w:rPr>
              <w:t>Vendita di armi diverse da quelle da guerra</w:t>
            </w:r>
          </w:p>
          <w:p w:rsidR="005C4E68" w:rsidRDefault="00652DF6">
            <w:pPr>
              <w:spacing w:before="120"/>
              <w:jc w:val="center"/>
              <w:rPr>
                <w:rFonts w:ascii="Arial" w:hAnsi="Arial" w:cs="Arial"/>
                <w:b/>
                <w:sz w:val="20"/>
                <w:szCs w:val="20"/>
              </w:rPr>
            </w:pPr>
            <w:r>
              <w:rPr>
                <w:rFonts w:ascii="Arial" w:hAnsi="Arial" w:cs="Arial"/>
                <w:b/>
                <w:sz w:val="20"/>
                <w:szCs w:val="20"/>
              </w:rPr>
              <w:t>DICHIARAZIONE DI CONSENSO DEL RAPPRESENTANTE</w:t>
            </w:r>
          </w:p>
          <w:p w:rsidR="005C4E68" w:rsidRDefault="00652DF6">
            <w:pPr>
              <w:spacing w:after="240"/>
              <w:jc w:val="center"/>
            </w:pPr>
            <w:r>
              <w:rPr>
                <w:rFonts w:ascii="Arial" w:hAnsi="Arial" w:cs="Arial"/>
                <w:color w:val="000000"/>
                <w:sz w:val="16"/>
                <w:szCs w:val="20"/>
              </w:rPr>
              <w:t>(</w:t>
            </w:r>
            <w:r>
              <w:rPr>
                <w:rFonts w:ascii="Arial" w:hAnsi="Arial" w:cs="Arial"/>
                <w:sz w:val="16"/>
                <w:szCs w:val="20"/>
              </w:rPr>
              <w:t xml:space="preserve">art. 8, C.2. </w:t>
            </w:r>
            <w:proofErr w:type="spellStart"/>
            <w:r>
              <w:rPr>
                <w:rFonts w:ascii="Arial" w:hAnsi="Arial" w:cs="Arial"/>
                <w:sz w:val="16"/>
                <w:szCs w:val="20"/>
                <w:lang w:val="en-US"/>
              </w:rPr>
              <w:t>Tulps</w:t>
            </w:r>
            <w:proofErr w:type="spellEnd"/>
            <w:r>
              <w:rPr>
                <w:rFonts w:ascii="Arial" w:hAnsi="Arial" w:cs="Arial"/>
                <w:sz w:val="16"/>
                <w:szCs w:val="20"/>
                <w:lang w:val="en-US"/>
              </w:rPr>
              <w:t xml:space="preserve"> – R.D. n. 773/1931</w:t>
            </w:r>
            <w:r>
              <w:rPr>
                <w:rFonts w:ascii="Arial" w:hAnsi="Arial" w:cs="Arial"/>
                <w:color w:val="000000"/>
                <w:sz w:val="16"/>
                <w:szCs w:val="20"/>
                <w:lang w:val="en-US"/>
              </w:rPr>
              <w:t>)</w:t>
            </w:r>
          </w:p>
        </w:tc>
      </w:tr>
    </w:tbl>
    <w:p w:rsidR="005C4E68" w:rsidRDefault="00652DF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5C4E68" w:rsidRDefault="00652DF6">
      <w:pPr>
        <w:spacing w:before="120" w:after="120"/>
        <w:rPr>
          <w:rFonts w:ascii="Arial" w:hAnsi="Arial" w:cs="Arial"/>
          <w:sz w:val="20"/>
          <w:szCs w:val="20"/>
        </w:rPr>
      </w:pPr>
      <w:r>
        <w:rPr>
          <w:rFonts w:ascii="Arial" w:hAnsi="Arial" w:cs="Arial"/>
          <w:sz w:val="20"/>
          <w:szCs w:val="20"/>
        </w:rPr>
        <w:t>Protocollo n. ....................... Data di protocollazione ........./......../............</w:t>
      </w:r>
    </w:p>
    <w:p w:rsidR="005C4E68" w:rsidRDefault="00652DF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armi diverse da quelle da guerra.</w:t>
      </w:r>
    </w:p>
    <w:p w:rsidR="005C4E68" w:rsidRDefault="00652DF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5C4E68" w:rsidRDefault="00652DF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5C4E68" w:rsidRDefault="00652DF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5C4E68" w:rsidRDefault="00652DF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5C4E68" w:rsidRDefault="00652DF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5C4E68" w:rsidRDefault="00652DF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5C4E68" w:rsidRDefault="00652DF6">
      <w:pPr>
        <w:spacing w:before="120" w:after="120" w:line="360" w:lineRule="auto"/>
        <w:jc w:val="both"/>
      </w:pPr>
      <w:r>
        <w:rPr>
          <w:rFonts w:ascii="Arial" w:eastAsia="Arial" w:hAnsi="Arial" w:cs="Arial"/>
          <w:color w:val="000000"/>
          <w:sz w:val="20"/>
          <w:szCs w:val="20"/>
        </w:rPr>
        <w:t>in relazione al</w:t>
      </w:r>
      <w:r>
        <w:rPr>
          <w:rFonts w:ascii="Arial" w:eastAsia="Calibri" w:hAnsi="Arial" w:cs="Arial"/>
          <w:b/>
          <w:sz w:val="20"/>
          <w:szCs w:val="20"/>
          <w:lang w:eastAsia="en-US"/>
        </w:rPr>
        <w:t xml:space="preserve"> </w:t>
      </w:r>
      <w:r>
        <w:rPr>
          <w:rFonts w:ascii="Arial" w:eastAsia="Arial" w:hAnsi="Arial" w:cs="Arial"/>
          <w:b/>
          <w:color w:val="000000"/>
          <w:sz w:val="20"/>
          <w:szCs w:val="20"/>
        </w:rPr>
        <w:t>locale di vendita di armi diverse da quelle da guerra,</w:t>
      </w:r>
      <w:r>
        <w:rPr>
          <w:rFonts w:ascii="Arial" w:eastAsia="Calibri" w:hAnsi="Arial" w:cs="Arial"/>
          <w:sz w:val="20"/>
          <w:szCs w:val="20"/>
          <w:lang w:eastAsia="en-US"/>
        </w:rPr>
        <w:t xml:space="preserve"> 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5C4E68" w:rsidRDefault="00652DF6">
      <w:pPr>
        <w:autoSpaceDE w:val="0"/>
        <w:spacing w:before="120" w:after="120"/>
        <w:jc w:val="both"/>
      </w:pPr>
      <w:r>
        <w:rPr>
          <w:rFonts w:ascii="Arial" w:hAnsi="Arial" w:cs="Arial"/>
          <w:b/>
          <w:spacing w:val="2"/>
          <w:sz w:val="20"/>
          <w:szCs w:val="20"/>
          <w:lang w:eastAsia="ar-SA"/>
        </w:rPr>
        <w:t>Idoneità psico-fisica certificata da</w:t>
      </w:r>
      <w:r>
        <w:rPr>
          <w:rFonts w:ascii="Arial" w:hAnsi="Arial" w:cs="Arial"/>
          <w:spacing w:val="2"/>
          <w:sz w:val="20"/>
          <w:szCs w:val="20"/>
          <w:vertAlign w:val="superscript"/>
          <w:lang w:eastAsia="ar-SA"/>
        </w:rPr>
        <w:footnoteReference w:id="2"/>
      </w:r>
      <w:r>
        <w:rPr>
          <w:rFonts w:ascii="Arial" w:hAnsi="Arial" w:cs="Arial"/>
          <w:b/>
          <w:spacing w:val="2"/>
          <w:sz w:val="20"/>
          <w:szCs w:val="20"/>
          <w:lang w:eastAsia="ar-SA"/>
        </w:rPr>
        <w:t xml:space="preserve">: </w:t>
      </w:r>
      <w:r>
        <w:rPr>
          <w:rFonts w:ascii="Arial" w:hAnsi="Arial" w:cs="Arial"/>
          <w:spacing w:val="2"/>
          <w:sz w:val="20"/>
          <w:szCs w:val="20"/>
          <w:lang w:eastAsia="ar-SA"/>
        </w:rPr>
        <w:t>....................................................................</w:t>
      </w:r>
      <w:r>
        <w:rPr>
          <w:rFonts w:ascii="Arial" w:hAnsi="Arial" w:cs="Arial"/>
          <w:b/>
          <w:spacing w:val="2"/>
          <w:sz w:val="20"/>
          <w:szCs w:val="20"/>
          <w:lang w:eastAsia="ar-SA"/>
        </w:rPr>
        <w:t xml:space="preserve"> in data </w:t>
      </w:r>
      <w:r>
        <w:rPr>
          <w:rFonts w:ascii="Arial" w:hAnsi="Arial" w:cs="Arial"/>
          <w:sz w:val="20"/>
          <w:szCs w:val="20"/>
        </w:rPr>
        <w:t>......./....../............</w:t>
      </w:r>
    </w:p>
    <w:p w:rsidR="005C4E68" w:rsidRDefault="00652DF6">
      <w:pPr>
        <w:autoSpaceDE w:val="0"/>
        <w:spacing w:before="120" w:after="120" w:line="312" w:lineRule="auto"/>
        <w:jc w:val="both"/>
      </w:pPr>
      <w:r>
        <w:rPr>
          <w:rFonts w:ascii="Arial" w:hAnsi="Arial" w:cs="Arial"/>
          <w:b/>
          <w:spacing w:val="2"/>
          <w:sz w:val="20"/>
          <w:szCs w:val="20"/>
          <w:lang w:eastAsia="ar-SA"/>
        </w:rPr>
        <w:t xml:space="preserve">Abilitazione tecnica alla conoscenza delle armi e degli esplosivi: </w:t>
      </w:r>
      <w:r>
        <w:rPr>
          <w:rFonts w:ascii="Arial" w:hAnsi="Arial" w:cs="Arial"/>
          <w:spacing w:val="2"/>
          <w:sz w:val="20"/>
          <w:szCs w:val="20"/>
          <w:lang w:eastAsia="ar-SA"/>
        </w:rPr>
        <w:t xml:space="preserve">rilasciata dalla Commissione tecnica per le materie esplodenti, in data </w:t>
      </w:r>
      <w:r>
        <w:rPr>
          <w:rFonts w:ascii="Arial" w:hAnsi="Arial" w:cs="Arial"/>
          <w:sz w:val="20"/>
          <w:szCs w:val="20"/>
        </w:rPr>
        <w:t>......./....../............</w:t>
      </w:r>
    </w:p>
    <w:p w:rsidR="005C4E68" w:rsidRDefault="00652DF6">
      <w:pPr>
        <w:spacing w:before="240" w:after="240"/>
        <w:jc w:val="center"/>
      </w:pPr>
      <w:r>
        <w:rPr>
          <w:rFonts w:ascii="Arial" w:eastAsia="Arial" w:hAnsi="Arial" w:cs="Arial"/>
          <w:b/>
          <w:color w:val="000000"/>
          <w:sz w:val="20"/>
          <w:szCs w:val="20"/>
        </w:rPr>
        <w:t>DICHIARA, INOLTRE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 xml:space="preserve">di essere in possesso dei requisiti morali prescritti dalla vigente normativa (ivi compresi quelli di cui agli artt. 11, 43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FD72B0">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rPr>
          <w:rFonts w:ascii="Arial" w:hAnsi="Arial" w:cs="Arial"/>
          <w:sz w:val="20"/>
          <w:szCs w:val="20"/>
        </w:rPr>
      </w:pPr>
      <w:r>
        <w:rPr>
          <w:rFonts w:ascii="Arial" w:hAnsi="Arial" w:cs="Arial"/>
          <w:sz w:val="20"/>
          <w:szCs w:val="20"/>
        </w:rPr>
        <w:lastRenderedPageBreak/>
        <w:t xml:space="preserve">di essere consapevole che, </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34, c.1, TULPS, le armi non possono essere trasportate fuori del negozio, senza preventivo avviso all'autorità di pubblica sicurezza;</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commi 1, 2 e 3 TULPS, l’"</w:t>
      </w:r>
      <w:r>
        <w:rPr>
          <w:rFonts w:ascii="Arial" w:hAnsi="Arial" w:cs="Arial"/>
          <w:i/>
          <w:sz w:val="20"/>
          <w:szCs w:val="20"/>
        </w:rPr>
        <w:t>armaiolo</w:t>
      </w:r>
      <w:r>
        <w:rPr>
          <w:rFonts w:ascii="Arial" w:hAnsi="Arial" w:cs="Arial"/>
          <w:sz w:val="20"/>
          <w:szCs w:val="20"/>
        </w:rPr>
        <w:t>" deve tenere un registro delle operazioni giornaliere, in formato elettronico, con indicate le generalità delle persone con cui le operazioni sono compiute, da esibire a richiesta agli ufficiali o agenti di pubblica sicurezza (da conservare per 50 anni e consegnare, alla cessazione dell'attività, all'Autorità di pubblica sicurezza che aveva rilasciato l’autorizzazione);</w:t>
      </w:r>
    </w:p>
    <w:p w:rsidR="005C4E68" w:rsidRDefault="00652DF6" w:rsidP="00FD72B0">
      <w:pPr>
        <w:widowControl w:val="0"/>
        <w:numPr>
          <w:ilvl w:val="0"/>
          <w:numId w:val="6"/>
        </w:numPr>
        <w:spacing w:before="120" w:after="120" w:line="24" w:lineRule="atLeast"/>
        <w:jc w:val="both"/>
      </w:pPr>
      <w:r>
        <w:rPr>
          <w:rFonts w:ascii="Arial" w:hAnsi="Arial" w:cs="Arial"/>
          <w:sz w:val="20"/>
          <w:szCs w:val="20"/>
        </w:rPr>
        <w:t>ai sensi dell’art. 35, c.4, TULPS, l’"</w:t>
      </w:r>
      <w:r>
        <w:rPr>
          <w:rFonts w:ascii="Arial" w:hAnsi="Arial" w:cs="Arial"/>
          <w:i/>
          <w:sz w:val="20"/>
          <w:szCs w:val="20"/>
        </w:rPr>
        <w:t>armaiolo</w:t>
      </w:r>
      <w:r>
        <w:rPr>
          <w:rFonts w:ascii="Arial" w:hAnsi="Arial" w:cs="Arial"/>
          <w:sz w:val="20"/>
          <w:szCs w:val="20"/>
        </w:rPr>
        <w:t>" deve comunicare mensilmente all'ufficio di polizia territorialmente competente, le generalità dei privati che hanno acquistato o venduto le armi, nonché specie e quantità delle armi vendute o acquistate ed estremi dei titoli abilitativi all'acquisto esibiti dagli interessati;</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35, c.5, TULPS, è vietato vendere o cedere armi a privati non muniti di permesso di porto d'armi ovvero di nulla osta all'acquisto rilasciato dal Questore;</w:t>
      </w:r>
    </w:p>
    <w:p w:rsidR="005C4E68" w:rsidRDefault="00652DF6" w:rsidP="00FD72B0">
      <w:pPr>
        <w:widowControl w:val="0"/>
        <w:numPr>
          <w:ilvl w:val="0"/>
          <w:numId w:val="6"/>
        </w:numPr>
        <w:spacing w:before="120" w:after="120" w:line="24" w:lineRule="atLeast"/>
        <w:jc w:val="both"/>
        <w:rPr>
          <w:rFonts w:ascii="Arial" w:hAnsi="Arial" w:cs="Arial"/>
          <w:sz w:val="20"/>
          <w:szCs w:val="20"/>
        </w:rPr>
      </w:pPr>
      <w:r>
        <w:rPr>
          <w:rFonts w:ascii="Arial" w:hAnsi="Arial" w:cs="Arial"/>
          <w:sz w:val="20"/>
          <w:szCs w:val="20"/>
        </w:rPr>
        <w:t>ai sensi dell’art. 37, c.1, TULPS, è vietata la vendita ambulante delle armi, mentre è, invece, permessa la vendita ambulante di strumenti da punta e da taglio atti ad offendere, previa autorizzazione del Questore;</w:t>
      </w:r>
    </w:p>
    <w:p w:rsidR="00FD72B0" w:rsidRPr="00FD72B0" w:rsidRDefault="00FD72B0" w:rsidP="00FD72B0">
      <w:pPr>
        <w:widowControl w:val="0"/>
        <w:numPr>
          <w:ilvl w:val="0"/>
          <w:numId w:val="4"/>
        </w:numPr>
        <w:spacing w:before="120" w:after="120" w:line="24" w:lineRule="atLeast"/>
        <w:ind w:hanging="357"/>
        <w:jc w:val="both"/>
        <w:rPr>
          <w:rFonts w:ascii="Arial" w:hAnsi="Arial" w:cs="Arial"/>
          <w:sz w:val="20"/>
          <w:szCs w:val="20"/>
        </w:rPr>
      </w:pPr>
      <w:r w:rsidRPr="00FD72B0">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5C4E68" w:rsidRDefault="00652DF6" w:rsidP="00FD72B0">
      <w:pPr>
        <w:widowControl w:val="0"/>
        <w:numPr>
          <w:ilvl w:val="0"/>
          <w:numId w:val="4"/>
        </w:numPr>
        <w:spacing w:before="120" w:after="120" w:line="24" w:lineRule="atLeast"/>
        <w:ind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5C4E68" w:rsidRDefault="00652DF6" w:rsidP="00FD72B0">
      <w:pPr>
        <w:widowControl w:val="0"/>
        <w:numPr>
          <w:ilvl w:val="0"/>
          <w:numId w:val="4"/>
        </w:numPr>
        <w:spacing w:before="120" w:after="120" w:line="24" w:lineRule="atLeast"/>
        <w:ind w:hanging="357"/>
        <w:jc w:val="both"/>
      </w:pPr>
      <w:r>
        <w:rPr>
          <w:rFonts w:ascii="Arial" w:eastAsia="Arial" w:hAnsi="Arial" w:cs="Arial"/>
          <w:color w:val="000000"/>
          <w:sz w:val="20"/>
          <w:szCs w:val="20"/>
        </w:rPr>
        <w:t>di allegare alla presente, copia della documentazione richiesta.</w:t>
      </w:r>
    </w:p>
    <w:p w:rsidR="005C4E68" w:rsidRDefault="00652DF6">
      <w:pPr>
        <w:spacing w:before="120" w:after="120"/>
        <w:jc w:val="both"/>
        <w:rPr>
          <w:rFonts w:ascii="Arial" w:hAnsi="Arial" w:cs="Arial"/>
          <w:b/>
          <w:sz w:val="20"/>
          <w:szCs w:val="20"/>
        </w:rPr>
      </w:pPr>
      <w:r>
        <w:rPr>
          <w:rFonts w:ascii="Arial" w:hAnsi="Arial" w:cs="Arial"/>
          <w:b/>
          <w:sz w:val="20"/>
          <w:szCs w:val="20"/>
        </w:rPr>
        <w:t>Documentazione allegata alla dichiarazione (a pena di irricevibilità):</w:t>
      </w:r>
    </w:p>
    <w:p w:rsidR="005C4E68" w:rsidRDefault="00652DF6">
      <w:pPr>
        <w:widowControl w:val="0"/>
        <w:numPr>
          <w:ilvl w:val="0"/>
          <w:numId w:val="7"/>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bookmarkStart w:id="0" w:name="_GoBack"/>
      <w:bookmarkEnd w:id="0"/>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5C4E68" w:rsidRDefault="00652DF6">
      <w:pPr>
        <w:numPr>
          <w:ilvl w:val="0"/>
          <w:numId w:val="7"/>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5C4E68" w:rsidRDefault="00652DF6">
      <w:pPr>
        <w:numPr>
          <w:ilvl w:val="0"/>
          <w:numId w:val="7"/>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delle eventuali prescrizioni impartite dalla Questura territorialmente competente.</w:t>
      </w:r>
    </w:p>
    <w:p w:rsidR="005C4E68" w:rsidRDefault="00652DF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5C4E68" w:rsidRDefault="00652DF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5C4E68">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03" w:rsidRDefault="00A93403">
      <w:r>
        <w:separator/>
      </w:r>
    </w:p>
  </w:endnote>
  <w:endnote w:type="continuationSeparator" w:id="0">
    <w:p w:rsidR="00A93403" w:rsidRDefault="00A9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2B0" w:rsidRPr="00FD72B0" w:rsidRDefault="00FD72B0" w:rsidP="00FD72B0">
    <w:pPr>
      <w:suppressAutoHyphens w:val="0"/>
      <w:autoSpaceDN/>
      <w:jc w:val="right"/>
      <w:textAlignment w:val="auto"/>
      <w:rPr>
        <w:rFonts w:ascii="Arial" w:hAnsi="Arial" w:cs="Arial"/>
        <w:sz w:val="10"/>
        <w:szCs w:val="10"/>
      </w:rPr>
    </w:pPr>
    <w:bookmarkStart w:id="1" w:name="_Hlk479843000"/>
    <w:r w:rsidRPr="00FD72B0">
      <w:rPr>
        <w:rFonts w:ascii="Arial" w:hAnsi="Arial" w:cs="Arial"/>
        <w:sz w:val="10"/>
        <w:szCs w:val="10"/>
      </w:rPr>
      <w:t xml:space="preserve">Pag. </w:t>
    </w:r>
    <w:r w:rsidRPr="00FD72B0">
      <w:rPr>
        <w:rFonts w:ascii="Arial" w:hAnsi="Arial" w:cs="Arial"/>
        <w:sz w:val="10"/>
        <w:szCs w:val="10"/>
      </w:rPr>
      <w:fldChar w:fldCharType="begin"/>
    </w:r>
    <w:r w:rsidRPr="00FD72B0">
      <w:rPr>
        <w:rFonts w:ascii="Arial" w:hAnsi="Arial" w:cs="Arial"/>
        <w:sz w:val="10"/>
        <w:szCs w:val="10"/>
      </w:rPr>
      <w:instrText xml:space="preserve"> PAGE </w:instrText>
    </w:r>
    <w:r w:rsidRPr="00FD72B0">
      <w:rPr>
        <w:rFonts w:ascii="Arial" w:hAnsi="Arial" w:cs="Arial"/>
        <w:sz w:val="10"/>
        <w:szCs w:val="10"/>
      </w:rPr>
      <w:fldChar w:fldCharType="separate"/>
    </w:r>
    <w:r w:rsidRPr="00FD72B0">
      <w:rPr>
        <w:rFonts w:ascii="Arial" w:hAnsi="Arial" w:cs="Arial"/>
        <w:sz w:val="10"/>
        <w:szCs w:val="10"/>
      </w:rPr>
      <w:t>1</w:t>
    </w:r>
    <w:r w:rsidRPr="00FD72B0">
      <w:rPr>
        <w:rFonts w:ascii="Arial" w:hAnsi="Arial" w:cs="Arial"/>
        <w:sz w:val="10"/>
        <w:szCs w:val="10"/>
      </w:rPr>
      <w:fldChar w:fldCharType="end"/>
    </w:r>
    <w:r w:rsidRPr="00FD72B0">
      <w:rPr>
        <w:rFonts w:ascii="Arial" w:hAnsi="Arial" w:cs="Arial"/>
        <w:sz w:val="10"/>
        <w:szCs w:val="10"/>
      </w:rPr>
      <w:t xml:space="preserve"> di </w:t>
    </w:r>
    <w:r w:rsidRPr="00FD72B0">
      <w:rPr>
        <w:rFonts w:ascii="Arial" w:hAnsi="Arial" w:cs="Arial"/>
        <w:bCs/>
        <w:sz w:val="10"/>
        <w:szCs w:val="10"/>
      </w:rPr>
      <w:fldChar w:fldCharType="begin"/>
    </w:r>
    <w:r w:rsidRPr="00FD72B0">
      <w:rPr>
        <w:rFonts w:ascii="Arial" w:hAnsi="Arial" w:cs="Arial"/>
        <w:bCs/>
        <w:sz w:val="10"/>
        <w:szCs w:val="10"/>
      </w:rPr>
      <w:instrText xml:space="preserve"> NUMPAGES </w:instrText>
    </w:r>
    <w:r w:rsidRPr="00FD72B0">
      <w:rPr>
        <w:rFonts w:ascii="Arial" w:hAnsi="Arial" w:cs="Arial"/>
        <w:bCs/>
        <w:sz w:val="10"/>
        <w:szCs w:val="10"/>
      </w:rPr>
      <w:fldChar w:fldCharType="separate"/>
    </w:r>
    <w:r w:rsidRPr="00FD72B0">
      <w:rPr>
        <w:rFonts w:ascii="Arial" w:hAnsi="Arial" w:cs="Arial"/>
        <w:bCs/>
        <w:sz w:val="10"/>
        <w:szCs w:val="10"/>
      </w:rPr>
      <w:t>2</w:t>
    </w:r>
    <w:r w:rsidRPr="00FD72B0">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D72B0" w:rsidRPr="00FD72B0" w:rsidTr="00B42D66">
      <w:trPr>
        <w:trHeight w:val="142"/>
        <w:jc w:val="center"/>
      </w:trPr>
      <w:tc>
        <w:tcPr>
          <w:tcW w:w="711" w:type="dxa"/>
          <w:vMerge w:val="restart"/>
          <w:vAlign w:val="center"/>
          <w:hideMark/>
        </w:tcPr>
        <w:p w:rsidR="00FD72B0" w:rsidRPr="00FD72B0" w:rsidRDefault="00FD72B0" w:rsidP="00FD72B0">
          <w:pPr>
            <w:suppressAutoHyphens w:val="0"/>
            <w:autoSpaceDN/>
            <w:ind w:right="7370"/>
            <w:jc w:val="right"/>
            <w:textAlignment w:val="auto"/>
            <w:rPr>
              <w:rFonts w:ascii="Arial" w:hAnsi="Arial" w:cs="Arial"/>
              <w:color w:val="000000"/>
              <w:sz w:val="14"/>
              <w:szCs w:val="14"/>
            </w:rPr>
          </w:pPr>
          <w:r w:rsidRPr="00FD72B0">
            <w:rPr>
              <w:rFonts w:ascii="Arial" w:hAnsi="Arial" w:cs="Arial"/>
              <w:noProof/>
              <w:color w:val="000000"/>
              <w:sz w:val="20"/>
              <w:szCs w:val="20"/>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lang w:eastAsia="en-US"/>
            </w:rPr>
          </w:pPr>
          <w:r w:rsidRPr="00FD72B0">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10.h.</w:t>
          </w:r>
          <w:proofErr w:type="gramEnd"/>
          <w:r>
            <w:rPr>
              <w:rFonts w:ascii="Arial" w:hAnsi="Arial" w:cs="Arial"/>
              <w:sz w:val="10"/>
              <w:szCs w:val="10"/>
            </w:rPr>
            <w:t>2</w:t>
          </w:r>
        </w:p>
      </w:tc>
      <w:tc>
        <w:tcPr>
          <w:tcW w:w="7822" w:type="dxa"/>
          <w:vAlign w:val="center"/>
        </w:tcPr>
        <w:p w:rsidR="00FD72B0" w:rsidRPr="00FD72B0" w:rsidRDefault="00FD72B0" w:rsidP="00FD72B0">
          <w:pPr>
            <w:suppressAutoHyphens w:val="0"/>
            <w:autoSpaceDN/>
            <w:ind w:right="87"/>
            <w:jc w:val="both"/>
            <w:textAlignment w:val="auto"/>
            <w:rPr>
              <w:rFonts w:ascii="Arial" w:hAnsi="Arial" w:cs="Arial"/>
              <w:color w:val="000000"/>
              <w:sz w:val="10"/>
              <w:szCs w:val="10"/>
            </w:rPr>
          </w:pPr>
        </w:p>
      </w:tc>
    </w:tr>
    <w:tr w:rsidR="00FD72B0" w:rsidRPr="00FD72B0" w:rsidTr="00B42D66">
      <w:trPr>
        <w:trHeight w:val="142"/>
        <w:jc w:val="center"/>
      </w:trPr>
      <w:tc>
        <w:tcPr>
          <w:tcW w:w="711" w:type="dxa"/>
          <w:vMerge/>
          <w:vAlign w:val="center"/>
          <w:hideMark/>
        </w:tcPr>
        <w:p w:rsidR="00FD72B0" w:rsidRPr="00FD72B0" w:rsidRDefault="00FD72B0" w:rsidP="00FD72B0">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FD72B0" w:rsidRPr="00FD72B0" w:rsidRDefault="00FD72B0" w:rsidP="00FD72B0">
          <w:pPr>
            <w:suppressAutoHyphens w:val="0"/>
            <w:autoSpaceDN/>
            <w:jc w:val="center"/>
            <w:textAlignment w:val="auto"/>
            <w:rPr>
              <w:rFonts w:ascii="Arial" w:hAnsi="Arial" w:cs="Arial"/>
              <w:color w:val="000000"/>
              <w:sz w:val="10"/>
              <w:szCs w:val="10"/>
            </w:rPr>
          </w:pPr>
          <w:r w:rsidRPr="00FD72B0">
            <w:rPr>
              <w:rFonts w:ascii="Arial" w:hAnsi="Arial" w:cs="Arial"/>
              <w:color w:val="000000"/>
              <w:sz w:val="10"/>
              <w:szCs w:val="10"/>
            </w:rPr>
            <w:t>Grafiche E. Gaspari</w:t>
          </w:r>
        </w:p>
      </w:tc>
      <w:tc>
        <w:tcPr>
          <w:tcW w:w="7822" w:type="dxa"/>
          <w:vAlign w:val="center"/>
          <w:hideMark/>
        </w:tcPr>
        <w:p w:rsidR="00FD72B0" w:rsidRPr="00FD72B0" w:rsidRDefault="00FD72B0" w:rsidP="00FD72B0">
          <w:pPr>
            <w:suppressAutoHyphens w:val="0"/>
            <w:autoSpaceDN/>
            <w:ind w:right="87"/>
            <w:jc w:val="right"/>
            <w:textAlignment w:val="auto"/>
            <w:rPr>
              <w:rFonts w:ascii="Arial" w:hAnsi="Arial" w:cs="Arial"/>
              <w:color w:val="000000"/>
              <w:sz w:val="10"/>
              <w:szCs w:val="10"/>
            </w:rPr>
          </w:pPr>
          <w:r w:rsidRPr="00FD72B0">
            <w:rPr>
              <w:rFonts w:ascii="Arial" w:hAnsi="Arial" w:cs="Arial"/>
              <w:color w:val="000000"/>
              <w:sz w:val="10"/>
              <w:szCs w:val="10"/>
            </w:rPr>
            <w:t xml:space="preserve">Pag. </w:t>
          </w:r>
          <w:r w:rsidRPr="00FD72B0">
            <w:rPr>
              <w:rFonts w:ascii="Arial" w:hAnsi="Arial" w:cs="Arial"/>
              <w:color w:val="000000"/>
              <w:sz w:val="10"/>
              <w:szCs w:val="10"/>
            </w:rPr>
            <w:fldChar w:fldCharType="begin"/>
          </w:r>
          <w:r w:rsidRPr="00FD72B0">
            <w:rPr>
              <w:rFonts w:ascii="Arial" w:hAnsi="Arial" w:cs="Arial"/>
              <w:color w:val="000000"/>
              <w:sz w:val="10"/>
              <w:szCs w:val="10"/>
            </w:rPr>
            <w:instrText xml:space="preserve"> PAGE </w:instrText>
          </w:r>
          <w:r w:rsidRPr="00FD72B0">
            <w:rPr>
              <w:rFonts w:ascii="Arial" w:hAnsi="Arial" w:cs="Arial"/>
              <w:color w:val="000000"/>
              <w:sz w:val="10"/>
              <w:szCs w:val="10"/>
            </w:rPr>
            <w:fldChar w:fldCharType="separate"/>
          </w:r>
          <w:r w:rsidRPr="00FD72B0">
            <w:rPr>
              <w:rFonts w:ascii="Arial" w:hAnsi="Arial" w:cs="Arial"/>
              <w:color w:val="000000"/>
              <w:sz w:val="10"/>
              <w:szCs w:val="10"/>
            </w:rPr>
            <w:t>1</w:t>
          </w:r>
          <w:r w:rsidRPr="00FD72B0">
            <w:rPr>
              <w:rFonts w:ascii="Arial" w:hAnsi="Arial" w:cs="Arial"/>
              <w:color w:val="000000"/>
              <w:sz w:val="10"/>
              <w:szCs w:val="10"/>
            </w:rPr>
            <w:fldChar w:fldCharType="end"/>
          </w:r>
          <w:r w:rsidRPr="00FD72B0">
            <w:rPr>
              <w:rFonts w:ascii="Arial" w:hAnsi="Arial" w:cs="Arial"/>
              <w:color w:val="000000"/>
              <w:sz w:val="10"/>
              <w:szCs w:val="10"/>
            </w:rPr>
            <w:t xml:space="preserve"> di </w:t>
          </w:r>
          <w:r w:rsidRPr="00FD72B0">
            <w:rPr>
              <w:rFonts w:ascii="Arial" w:hAnsi="Arial" w:cs="Arial"/>
              <w:bCs/>
              <w:color w:val="000000"/>
              <w:sz w:val="10"/>
              <w:szCs w:val="10"/>
            </w:rPr>
            <w:fldChar w:fldCharType="begin"/>
          </w:r>
          <w:r w:rsidRPr="00FD72B0">
            <w:rPr>
              <w:rFonts w:ascii="Arial" w:hAnsi="Arial" w:cs="Arial"/>
              <w:bCs/>
              <w:color w:val="000000"/>
              <w:sz w:val="10"/>
              <w:szCs w:val="10"/>
            </w:rPr>
            <w:instrText xml:space="preserve"> NUMPAGES </w:instrText>
          </w:r>
          <w:r w:rsidRPr="00FD72B0">
            <w:rPr>
              <w:rFonts w:ascii="Arial" w:hAnsi="Arial" w:cs="Arial"/>
              <w:bCs/>
              <w:color w:val="000000"/>
              <w:sz w:val="10"/>
              <w:szCs w:val="10"/>
            </w:rPr>
            <w:fldChar w:fldCharType="separate"/>
          </w:r>
          <w:r w:rsidRPr="00FD72B0">
            <w:rPr>
              <w:rFonts w:ascii="Arial" w:hAnsi="Arial" w:cs="Arial"/>
              <w:bCs/>
              <w:color w:val="000000"/>
              <w:sz w:val="10"/>
              <w:szCs w:val="10"/>
            </w:rPr>
            <w:t>1</w:t>
          </w:r>
          <w:r w:rsidRPr="00FD72B0">
            <w:rPr>
              <w:rFonts w:ascii="Arial" w:hAnsi="Arial" w:cs="Arial"/>
              <w:bCs/>
              <w:color w:val="000000"/>
              <w:sz w:val="10"/>
              <w:szCs w:val="10"/>
            </w:rPr>
            <w:fldChar w:fldCharType="end"/>
          </w:r>
        </w:p>
      </w:tc>
    </w:tr>
  </w:tbl>
  <w:p w:rsidR="00FD72B0" w:rsidRPr="00FD72B0" w:rsidRDefault="00FD72B0" w:rsidP="00FD72B0">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03" w:rsidRDefault="00A93403">
      <w:r>
        <w:rPr>
          <w:color w:val="000000"/>
        </w:rPr>
        <w:separator/>
      </w:r>
    </w:p>
  </w:footnote>
  <w:footnote w:type="continuationSeparator" w:id="0">
    <w:p w:rsidR="00A93403" w:rsidRDefault="00A93403">
      <w:r>
        <w:continuationSeparator/>
      </w:r>
    </w:p>
  </w:footnote>
  <w:footnote w:id="1">
    <w:p w:rsidR="005C4E68" w:rsidRDefault="00652DF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5C4E68" w:rsidRDefault="00652DF6">
      <w:pPr>
        <w:autoSpaceDE w:val="0"/>
        <w:spacing w:before="40"/>
        <w:jc w:val="both"/>
      </w:pPr>
      <w:r>
        <w:rPr>
          <w:rStyle w:val="Rimandonotaapidipagina"/>
        </w:rPr>
        <w:footnoteRef/>
      </w:r>
      <w:r>
        <w:t xml:space="preserve"> </w:t>
      </w:r>
      <w:r>
        <w:rPr>
          <w:rFonts w:ascii="Arial" w:hAnsi="Arial" w:cs="Arial"/>
          <w:sz w:val="16"/>
          <w:szCs w:val="16"/>
        </w:rPr>
        <w:t>La certificazione deve essere rilasciata da struttura del Servizio Sanitario Nazionale</w:t>
      </w:r>
    </w:p>
  </w:footnote>
  <w:footnote w:id="3">
    <w:p w:rsidR="005C4E68" w:rsidRDefault="00652DF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5C4E68" w:rsidRDefault="00652DF6">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5C4E68" w:rsidRDefault="00652DF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FD72B0">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5C4E68" w:rsidRDefault="005C4E68">
      <w:pPr>
        <w:jc w:val="both"/>
        <w:rPr>
          <w:rFonts w:ascii="Arial" w:hAnsi="Arial" w:cs="Arial"/>
          <w:sz w:val="4"/>
          <w:szCs w:val="16"/>
        </w:rPr>
      </w:pPr>
    </w:p>
    <w:p w:rsidR="005C4E68" w:rsidRDefault="00652DF6">
      <w:pPr>
        <w:jc w:val="both"/>
        <w:rPr>
          <w:rFonts w:ascii="Arial" w:hAnsi="Arial" w:cs="Arial"/>
          <w:sz w:val="16"/>
          <w:szCs w:val="16"/>
        </w:rPr>
      </w:pPr>
      <w:r>
        <w:rPr>
          <w:rFonts w:ascii="Arial" w:hAnsi="Arial" w:cs="Arial"/>
          <w:sz w:val="16"/>
          <w:szCs w:val="16"/>
        </w:rPr>
        <w:t xml:space="preserve">Ai sensi dell’art. 67 del </w:t>
      </w:r>
      <w:r w:rsidR="00FD72B0">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A08"/>
    <w:multiLevelType w:val="multilevel"/>
    <w:tmpl w:val="BD7AA276"/>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2B246E"/>
    <w:multiLevelType w:val="multilevel"/>
    <w:tmpl w:val="8FDEB0C4"/>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3" w15:restartNumberingAfterBreak="0">
    <w:nsid w:val="5EDD2019"/>
    <w:multiLevelType w:val="multilevel"/>
    <w:tmpl w:val="42AC0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7D52474"/>
    <w:multiLevelType w:val="multilevel"/>
    <w:tmpl w:val="6DB898F8"/>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71940570"/>
    <w:multiLevelType w:val="multilevel"/>
    <w:tmpl w:val="9CE4612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A510B7"/>
    <w:multiLevelType w:val="multilevel"/>
    <w:tmpl w:val="04A6C73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B07D15"/>
    <w:multiLevelType w:val="multilevel"/>
    <w:tmpl w:val="C062023E"/>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68"/>
    <w:rsid w:val="00531215"/>
    <w:rsid w:val="005C4E68"/>
    <w:rsid w:val="00652DF6"/>
    <w:rsid w:val="00A93403"/>
    <w:rsid w:val="00FD7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12B7-78F1-4165-A8EB-3577D83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2017-06-26T08:40:00Z</dcterms:created>
  <dcterms:modified xsi:type="dcterms:W3CDTF">2018-09-27T13:12:00Z</dcterms:modified>
</cp:coreProperties>
</file>